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0A04" w14:textId="77777777" w:rsidR="00006F68" w:rsidRDefault="00000000">
      <w:pPr>
        <w:spacing w:after="160" w:line="259" w:lineRule="auto"/>
        <w:ind w:left="11"/>
        <w:jc w:val="center"/>
      </w:pPr>
      <w:r>
        <w:rPr>
          <w:rFonts w:ascii="Century Gothic" w:eastAsia="Century Gothic" w:hAnsi="Century Gothic" w:cs="Century Gothic"/>
          <w:b/>
          <w:bCs/>
          <w:sz w:val="26"/>
          <w:lang w:val="cy-GB"/>
        </w:rPr>
        <w:t xml:space="preserve">Cymdeithas Gwenynwyr Cymru  </w:t>
      </w:r>
    </w:p>
    <w:p w14:paraId="2D7F1153" w14:textId="77777777" w:rsidR="00006F68" w:rsidRDefault="00000000">
      <w:pPr>
        <w:spacing w:after="119" w:line="259" w:lineRule="auto"/>
        <w:ind w:left="11" w:right="2"/>
        <w:jc w:val="center"/>
      </w:pPr>
      <w:r>
        <w:rPr>
          <w:rFonts w:ascii="Century Gothic" w:eastAsia="Century Gothic" w:hAnsi="Century Gothic" w:cs="Century Gothic"/>
          <w:b/>
          <w:bCs/>
          <w:sz w:val="26"/>
          <w:lang w:val="cy-GB"/>
        </w:rPr>
        <w:t>Welsh Beekeepers’ Association</w:t>
      </w:r>
      <w:r>
        <w:rPr>
          <w:rFonts w:ascii="Century Gothic" w:eastAsia="Century Gothic" w:hAnsi="Century Gothic" w:cs="Century Gothic"/>
          <w:sz w:val="26"/>
          <w:lang w:val="cy-GB"/>
        </w:rPr>
        <w:t xml:space="preserve"> </w:t>
      </w:r>
    </w:p>
    <w:p w14:paraId="7EC856C5" w14:textId="77777777" w:rsidR="00006F68" w:rsidRDefault="00000000">
      <w:pPr>
        <w:spacing w:after="342" w:line="258" w:lineRule="auto"/>
        <w:ind w:left="23" w:right="7"/>
        <w:jc w:val="center"/>
      </w:pPr>
      <w:r>
        <w:rPr>
          <w:rFonts w:ascii="Century Gothic" w:eastAsia="Century Gothic" w:hAnsi="Century Gothic" w:cs="Century Gothic"/>
          <w:sz w:val="22"/>
          <w:lang w:val="cy-GB"/>
        </w:rPr>
        <w:t xml:space="preserve">Elusen Gofrestredig Rhif 509929 </w:t>
      </w:r>
    </w:p>
    <w:p w14:paraId="66B5B78E" w14:textId="77777777" w:rsidR="00006F68" w:rsidRDefault="00000000">
      <w:pPr>
        <w:spacing w:after="54" w:line="259" w:lineRule="auto"/>
        <w:ind w:left="115" w:firstLine="0"/>
        <w:jc w:val="center"/>
      </w:pPr>
      <w:r>
        <w:rPr>
          <w:rFonts w:ascii="Century Gothic" w:eastAsia="Century Gothic" w:hAnsi="Century Gothic" w:cs="Century Gothic"/>
          <w:b/>
          <w:bCs/>
          <w:sz w:val="40"/>
          <w:lang w:val="cy-GB"/>
        </w:rPr>
        <w:t xml:space="preserve"> </w:t>
      </w:r>
    </w:p>
    <w:p w14:paraId="644FA351" w14:textId="77777777" w:rsidR="00006F68" w:rsidRDefault="00000000">
      <w:pPr>
        <w:spacing w:after="54" w:line="259" w:lineRule="auto"/>
        <w:ind w:left="115" w:firstLine="0"/>
        <w:jc w:val="center"/>
      </w:pPr>
      <w:r>
        <w:rPr>
          <w:noProof/>
        </w:rPr>
        <w:drawing>
          <wp:inline distT="0" distB="0" distL="0" distR="0" wp14:anchorId="100D9D14" wp14:editId="754FC27B">
            <wp:extent cx="1123950" cy="1217473"/>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397425706" name="Picture 46"/>
                    <pic:cNvPicPr/>
                  </pic:nvPicPr>
                  <pic:blipFill>
                    <a:blip r:embed="rId4"/>
                    <a:stretch>
                      <a:fillRect/>
                    </a:stretch>
                  </pic:blipFill>
                  <pic:spPr>
                    <a:xfrm>
                      <a:off x="0" y="0"/>
                      <a:ext cx="1123950" cy="1217473"/>
                    </a:xfrm>
                    <a:prstGeom prst="rect">
                      <a:avLst/>
                    </a:prstGeom>
                  </pic:spPr>
                </pic:pic>
              </a:graphicData>
            </a:graphic>
          </wp:inline>
        </w:drawing>
      </w:r>
      <w:r>
        <w:rPr>
          <w:rFonts w:ascii="Century Gothic" w:eastAsia="Century Gothic" w:hAnsi="Century Gothic" w:cs="Century Gothic"/>
          <w:b/>
          <w:bCs/>
          <w:sz w:val="40"/>
          <w:lang w:val="cy-GB"/>
        </w:rPr>
        <w:t xml:space="preserve"> </w:t>
      </w:r>
    </w:p>
    <w:p w14:paraId="5E39475F" w14:textId="77777777" w:rsidR="00006F68" w:rsidRDefault="00000000">
      <w:pPr>
        <w:spacing w:after="157" w:line="259" w:lineRule="auto"/>
        <w:ind w:left="115" w:firstLine="0"/>
        <w:jc w:val="center"/>
      </w:pPr>
      <w:r>
        <w:rPr>
          <w:rFonts w:ascii="Century Gothic" w:eastAsia="Century Gothic" w:hAnsi="Century Gothic" w:cs="Century Gothic"/>
          <w:b/>
          <w:bCs/>
          <w:sz w:val="40"/>
          <w:lang w:val="cy-GB"/>
        </w:rPr>
        <w:t xml:space="preserve"> </w:t>
      </w:r>
    </w:p>
    <w:p w14:paraId="5673E565" w14:textId="77777777" w:rsidR="00006F68" w:rsidRDefault="00000000">
      <w:pPr>
        <w:spacing w:after="157" w:line="259" w:lineRule="auto"/>
        <w:ind w:left="115" w:firstLine="0"/>
        <w:jc w:val="center"/>
      </w:pPr>
      <w:r>
        <w:rPr>
          <w:rFonts w:ascii="Century Gothic" w:eastAsia="Century Gothic" w:hAnsi="Century Gothic" w:cs="Century Gothic"/>
          <w:b/>
          <w:bCs/>
          <w:sz w:val="40"/>
          <w:lang w:val="cy-GB"/>
        </w:rPr>
        <w:t xml:space="preserve"> </w:t>
      </w:r>
    </w:p>
    <w:p w14:paraId="37344462" w14:textId="77777777" w:rsidR="00006F68" w:rsidRDefault="00000000">
      <w:pPr>
        <w:spacing w:after="157" w:line="259" w:lineRule="auto"/>
        <w:ind w:left="115" w:firstLine="0"/>
        <w:jc w:val="center"/>
      </w:pPr>
      <w:r>
        <w:rPr>
          <w:rFonts w:ascii="Century Gothic" w:eastAsia="Century Gothic" w:hAnsi="Century Gothic" w:cs="Century Gothic"/>
          <w:b/>
          <w:bCs/>
          <w:sz w:val="40"/>
          <w:lang w:val="cy-GB"/>
        </w:rPr>
        <w:t xml:space="preserve"> </w:t>
      </w:r>
    </w:p>
    <w:p w14:paraId="6B3044A2" w14:textId="5323D17B" w:rsidR="00006F68" w:rsidRDefault="00000000" w:rsidP="0007476F">
      <w:pPr>
        <w:pStyle w:val="Heading1"/>
        <w:jc w:val="center"/>
      </w:pPr>
      <w:r>
        <w:rPr>
          <w:bCs/>
          <w:lang w:val="cy-GB"/>
        </w:rPr>
        <w:t>NODYN CYFARWYDDYD DIOGELU A'R GWASANAETH DATGELU A GWAHARDD (DBS) CYMDEITHAS GWENYNWYR CYMRU</w:t>
      </w:r>
    </w:p>
    <w:p w14:paraId="35C5DD4F" w14:textId="77777777" w:rsidR="00006F68" w:rsidRDefault="00000000">
      <w:pPr>
        <w:spacing w:after="34" w:line="259" w:lineRule="auto"/>
        <w:ind w:left="115" w:firstLine="0"/>
        <w:jc w:val="center"/>
      </w:pPr>
      <w:r>
        <w:rPr>
          <w:rFonts w:ascii="Century Gothic" w:eastAsia="Century Gothic" w:hAnsi="Century Gothic" w:cs="Century Gothic"/>
          <w:b/>
          <w:bCs/>
          <w:sz w:val="40"/>
          <w:lang w:val="cy-GB"/>
        </w:rPr>
        <w:t xml:space="preserve"> </w:t>
      </w:r>
    </w:p>
    <w:p w14:paraId="02C7ED41" w14:textId="77777777" w:rsidR="00006F68" w:rsidRDefault="00000000">
      <w:pPr>
        <w:spacing w:after="98" w:line="259" w:lineRule="auto"/>
        <w:ind w:left="0" w:firstLine="0"/>
      </w:pPr>
      <w:r>
        <w:rPr>
          <w:rFonts w:ascii="Century Gothic" w:eastAsia="Century Gothic" w:hAnsi="Century Gothic" w:cs="Century Gothic"/>
          <w:lang w:val="cy-GB"/>
        </w:rPr>
        <w:t xml:space="preserve"> </w:t>
      </w:r>
    </w:p>
    <w:p w14:paraId="4AE58A04" w14:textId="77777777" w:rsidR="00006F68" w:rsidRDefault="00000000">
      <w:pPr>
        <w:spacing w:after="158" w:line="259" w:lineRule="auto"/>
        <w:ind w:left="64" w:firstLine="0"/>
        <w:jc w:val="center"/>
      </w:pPr>
      <w:r>
        <w:rPr>
          <w:rFonts w:ascii="Century Gothic" w:eastAsia="Century Gothic" w:hAnsi="Century Gothic" w:cs="Century Gothic"/>
          <w:sz w:val="22"/>
          <w:lang w:val="cy-GB"/>
        </w:rPr>
        <w:t xml:space="preserve"> </w:t>
      </w:r>
    </w:p>
    <w:p w14:paraId="62EC8628" w14:textId="77777777" w:rsidR="00006F68" w:rsidRDefault="00000000">
      <w:pPr>
        <w:spacing w:after="158" w:line="259" w:lineRule="auto"/>
        <w:ind w:left="64" w:firstLine="0"/>
        <w:jc w:val="center"/>
      </w:pPr>
      <w:r>
        <w:rPr>
          <w:rFonts w:ascii="Century Gothic" w:eastAsia="Century Gothic" w:hAnsi="Century Gothic" w:cs="Century Gothic"/>
          <w:sz w:val="22"/>
          <w:lang w:val="cy-GB"/>
        </w:rPr>
        <w:t xml:space="preserve"> </w:t>
      </w:r>
    </w:p>
    <w:p w14:paraId="26E3A10C" w14:textId="77777777" w:rsidR="00006F68" w:rsidRDefault="00000000">
      <w:pPr>
        <w:spacing w:after="158" w:line="259" w:lineRule="auto"/>
        <w:ind w:left="64" w:firstLine="0"/>
        <w:jc w:val="center"/>
      </w:pPr>
      <w:r>
        <w:rPr>
          <w:rFonts w:ascii="Century Gothic" w:eastAsia="Century Gothic" w:hAnsi="Century Gothic" w:cs="Century Gothic"/>
          <w:sz w:val="22"/>
          <w:lang w:val="cy-GB"/>
        </w:rPr>
        <w:t xml:space="preserve"> </w:t>
      </w:r>
    </w:p>
    <w:p w14:paraId="05A60E26" w14:textId="77777777" w:rsidR="00006F68" w:rsidRDefault="00000000">
      <w:pPr>
        <w:spacing w:after="158" w:line="259" w:lineRule="auto"/>
        <w:ind w:left="64" w:firstLine="0"/>
        <w:jc w:val="center"/>
      </w:pPr>
      <w:r>
        <w:rPr>
          <w:rFonts w:ascii="Century Gothic" w:eastAsia="Century Gothic" w:hAnsi="Century Gothic" w:cs="Century Gothic"/>
          <w:sz w:val="22"/>
          <w:lang w:val="cy-GB"/>
        </w:rPr>
        <w:t xml:space="preserve"> </w:t>
      </w:r>
    </w:p>
    <w:p w14:paraId="4E79718A" w14:textId="77777777" w:rsidR="00006F68" w:rsidRDefault="00000000">
      <w:pPr>
        <w:spacing w:after="159" w:line="259" w:lineRule="auto"/>
        <w:ind w:left="64" w:firstLine="0"/>
        <w:jc w:val="center"/>
      </w:pPr>
      <w:r>
        <w:rPr>
          <w:rFonts w:ascii="Century Gothic" w:eastAsia="Century Gothic" w:hAnsi="Century Gothic" w:cs="Century Gothic"/>
          <w:sz w:val="22"/>
          <w:lang w:val="cy-GB"/>
        </w:rPr>
        <w:t xml:space="preserve"> </w:t>
      </w:r>
    </w:p>
    <w:p w14:paraId="24059BA4" w14:textId="77777777" w:rsidR="00006F68" w:rsidRDefault="00000000">
      <w:pPr>
        <w:spacing w:after="158" w:line="259" w:lineRule="auto"/>
        <w:ind w:left="64" w:firstLine="0"/>
        <w:jc w:val="center"/>
      </w:pPr>
      <w:r>
        <w:rPr>
          <w:rFonts w:ascii="Century Gothic" w:eastAsia="Century Gothic" w:hAnsi="Century Gothic" w:cs="Century Gothic"/>
          <w:sz w:val="22"/>
          <w:lang w:val="cy-GB"/>
        </w:rPr>
        <w:t xml:space="preserve"> </w:t>
      </w:r>
    </w:p>
    <w:p w14:paraId="0630BA9F" w14:textId="77777777" w:rsidR="00006F68" w:rsidRDefault="00000000">
      <w:pPr>
        <w:spacing w:after="158" w:line="259" w:lineRule="auto"/>
        <w:ind w:left="64" w:firstLine="0"/>
        <w:jc w:val="center"/>
      </w:pPr>
      <w:r>
        <w:rPr>
          <w:rFonts w:ascii="Century Gothic" w:eastAsia="Century Gothic" w:hAnsi="Century Gothic" w:cs="Century Gothic"/>
          <w:sz w:val="22"/>
          <w:lang w:val="cy-GB"/>
        </w:rPr>
        <w:t xml:space="preserve"> </w:t>
      </w:r>
    </w:p>
    <w:p w14:paraId="167429A6" w14:textId="77777777" w:rsidR="00006F68" w:rsidRDefault="00000000">
      <w:pPr>
        <w:spacing w:after="159" w:line="258" w:lineRule="auto"/>
        <w:ind w:left="23"/>
        <w:jc w:val="center"/>
      </w:pPr>
      <w:r>
        <w:rPr>
          <w:rFonts w:ascii="Century Gothic" w:eastAsia="Century Gothic" w:hAnsi="Century Gothic" w:cs="Century Gothic"/>
          <w:sz w:val="22"/>
          <w:lang w:val="cy-GB"/>
        </w:rPr>
        <w:t xml:space="preserve">Adolygir y nodyn cyfarwyddyd hwn yn barhaus, o leiaf unwaith y flwyddyn. Bydd CGC yn adolygu'r cyfarwyddyd, yn dilyn ymgynghori, lle y bo'n briodol. </w:t>
      </w:r>
    </w:p>
    <w:p w14:paraId="016E8E84" w14:textId="77777777" w:rsidR="00006F68" w:rsidRDefault="00000000">
      <w:pPr>
        <w:spacing w:after="159" w:line="258" w:lineRule="auto"/>
        <w:ind w:left="23" w:right="9"/>
        <w:jc w:val="center"/>
      </w:pPr>
      <w:r>
        <w:rPr>
          <w:rFonts w:ascii="Century Gothic" w:eastAsia="Century Gothic" w:hAnsi="Century Gothic" w:cs="Century Gothic"/>
          <w:sz w:val="22"/>
          <w:lang w:val="cy-GB"/>
        </w:rPr>
        <w:t xml:space="preserve">Dyddiad cyhoeddi:  Hydref 2023 </w:t>
      </w:r>
    </w:p>
    <w:p w14:paraId="095DFCD4" w14:textId="2E423B3B" w:rsidR="00006F68" w:rsidRDefault="00000000">
      <w:pPr>
        <w:spacing w:after="159" w:line="258" w:lineRule="auto"/>
        <w:ind w:left="23" w:right="12"/>
        <w:jc w:val="center"/>
      </w:pPr>
      <w:r>
        <w:rPr>
          <w:rFonts w:ascii="Century Gothic" w:eastAsia="Century Gothic" w:hAnsi="Century Gothic" w:cs="Century Gothic"/>
          <w:sz w:val="22"/>
          <w:lang w:val="cy-GB"/>
        </w:rPr>
        <w:t xml:space="preserve">Dyddiad </w:t>
      </w:r>
      <w:r w:rsidR="00100728">
        <w:rPr>
          <w:rFonts w:ascii="Century Gothic" w:eastAsia="Century Gothic" w:hAnsi="Century Gothic" w:cs="Century Gothic"/>
          <w:sz w:val="22"/>
          <w:lang w:val="cy-GB"/>
        </w:rPr>
        <w:t>yr adolygiad diwethaf: Tachwedd 2024</w:t>
      </w:r>
      <w:r>
        <w:rPr>
          <w:rFonts w:ascii="Century Gothic" w:eastAsia="Century Gothic" w:hAnsi="Century Gothic" w:cs="Century Gothic"/>
          <w:sz w:val="22"/>
          <w:lang w:val="cy-GB"/>
        </w:rPr>
        <w:t xml:space="preserve"> </w:t>
      </w:r>
    </w:p>
    <w:p w14:paraId="75B8FE32" w14:textId="77777777" w:rsidR="00006F68" w:rsidRDefault="00000000">
      <w:pPr>
        <w:spacing w:after="204" w:line="259" w:lineRule="auto"/>
        <w:ind w:left="64" w:firstLine="0"/>
        <w:jc w:val="center"/>
      </w:pPr>
      <w:r>
        <w:rPr>
          <w:rFonts w:ascii="Century Gothic" w:eastAsia="Century Gothic" w:hAnsi="Century Gothic" w:cs="Century Gothic"/>
          <w:i/>
          <w:iCs/>
          <w:sz w:val="22"/>
          <w:lang w:val="cy-GB"/>
        </w:rPr>
        <w:lastRenderedPageBreak/>
        <w:t xml:space="preserve"> </w:t>
      </w:r>
    </w:p>
    <w:p w14:paraId="54FCBDCF" w14:textId="77777777" w:rsidR="00006F68" w:rsidRDefault="00000000">
      <w:pPr>
        <w:spacing w:after="0" w:line="259" w:lineRule="auto"/>
        <w:ind w:left="0" w:firstLine="0"/>
      </w:pPr>
      <w:r>
        <w:rPr>
          <w:lang w:val="cy-GB"/>
        </w:rPr>
        <w:t xml:space="preserve"> </w:t>
      </w:r>
    </w:p>
    <w:p w14:paraId="7F0A972C" w14:textId="77777777" w:rsidR="00006F68" w:rsidRDefault="00000000">
      <w:pPr>
        <w:pStyle w:val="Heading2"/>
        <w:spacing w:after="161"/>
        <w:ind w:left="-5" w:hanging="10"/>
      </w:pPr>
      <w:r>
        <w:rPr>
          <w:bCs/>
          <w:color w:val="000000"/>
          <w:lang w:val="cy-GB"/>
        </w:rPr>
        <w:t xml:space="preserve">Cyflwyniad </w:t>
      </w:r>
    </w:p>
    <w:p w14:paraId="54565F2E" w14:textId="77777777" w:rsidR="00006F68" w:rsidRDefault="00000000">
      <w:pPr>
        <w:ind w:left="-5"/>
      </w:pPr>
      <w:r>
        <w:rPr>
          <w:lang w:val="cy-GB"/>
        </w:rPr>
        <w:t xml:space="preserve">Mae gweithgareddau CGC a'i Haelod-Gymdeithasau yn gallu dod â'n haelodau i gysylltiad uniongyrchol ag unigolion a grwpiau sy'n awyddus i ddysgu rhagor am wenyn a gwenyna.  Mae gallu rhannu ein gwybodaeth ag eraill, drwy fynychu sioeau a digwyddiadau eraill, sgyrsiau/ymweliadau ag ysgolion, cyrsiau, gweithdai, neu ddigwyddiadau blasu, yn gallu bod yn werthfawr a rhoi boddhad i bawb o dan sylw. Fodd bynnag, mae'n dod â chyfrifoldebau pwysig o ran diogelu. </w:t>
      </w:r>
    </w:p>
    <w:p w14:paraId="108E4CA4" w14:textId="77777777" w:rsidR="00006F68" w:rsidRDefault="00000000">
      <w:pPr>
        <w:ind w:left="-5"/>
      </w:pPr>
      <w:r>
        <w:rPr>
          <w:color w:val="202124"/>
          <w:lang w:val="cy-GB"/>
        </w:rPr>
        <w:t xml:space="preserve">Mae diogelu'n ddyletswydd gofal ar bawb sy'n dod i gysylltiad â sefydliad a'i waith.  Mae'n </w:t>
      </w:r>
      <w:r>
        <w:rPr>
          <w:lang w:val="cy-GB"/>
        </w:rPr>
        <w:t xml:space="preserve">gyfrifoldeb ar bawb ac mae gan bob un ohonon ni ddyletswydd gofal dros bawb, ond yn enwedig dros blant, pobl ifanc ac oedolion mewn perygl sy'n cymryd rhan yn ein digwyddiadau neu sy'n eu mynychu, a hynny i ddiogelu eu llesiant, ac i'w hamddiffyn rhag niwed corfforol, rhywiol neu emosiynol a rhag esgeuluso a bwlio.  Bydd deall y cyfrifoldeb hwnnw a beth mae'n ei gynnwys yn helpu i sicrhau ein bod ni'n cadw'r grwpiau hynny'n ddiogel pan maen nhw'n cymryd rhan mewn digwyddiadau fel hyn.   </w:t>
      </w:r>
    </w:p>
    <w:p w14:paraId="3E1EFCC1" w14:textId="20030518" w:rsidR="00006F68" w:rsidRDefault="00000000">
      <w:pPr>
        <w:ind w:left="-5"/>
      </w:pPr>
      <w:r>
        <w:rPr>
          <w:lang w:val="cy-GB"/>
        </w:rPr>
        <w:t>Mae llawer o ddeddfwriaeth yn ymwneud â diogelu ond yr hyn sy'n berthnasol yng Nghymru yw Deddf Gwasanaethau Cymdeithasol a Llesiant (Cymru) 2014.  Mae'r ymagwedd yng Nghymru wedi'i chrynhoi yn y</w:t>
      </w:r>
      <w:r w:rsidR="0007476F">
        <w:rPr>
          <w:lang w:val="cy-GB"/>
        </w:rPr>
        <w:t xml:space="preserve"> </w:t>
      </w:r>
      <w:hyperlink r:id="rId5" w:history="1">
        <w:r w:rsidR="0007476F">
          <w:rPr>
            <w:rStyle w:val="Hyperlink"/>
            <w:lang w:val="cy-GB"/>
          </w:rPr>
          <w:t>Cod Ymarfer Diogelu</w:t>
        </w:r>
      </w:hyperlink>
      <w:r w:rsidR="0007476F">
        <w:rPr>
          <w:lang w:val="cy-GB"/>
        </w:rPr>
        <w:t xml:space="preserve"> </w:t>
      </w:r>
      <w:r>
        <w:rPr>
          <w:lang w:val="cy-GB"/>
        </w:rPr>
        <w:t xml:space="preserve">hwn a gyhoeddwyd gan Lywodraeth Cymru (LlC). </w:t>
      </w:r>
    </w:p>
    <w:p w14:paraId="28E6B650" w14:textId="207893C3" w:rsidR="00234CD8" w:rsidRDefault="00000000">
      <w:pPr>
        <w:ind w:left="-5"/>
      </w:pPr>
      <w:r>
        <w:rPr>
          <w:lang w:val="cy-GB"/>
        </w:rPr>
        <w:t>Mae Byrddau Diogelu Rhanbarthol ledled Cymru ac mae'r rhain hefyd yn rhoi llawer o arweiniad ac adnoddau diddorol –</w:t>
      </w:r>
      <w:hyperlink r:id="rId6" w:history="1">
        <w:r w:rsidR="00234CD8">
          <w:rPr>
            <w:lang w:val="cy-GB"/>
          </w:rPr>
          <w:t xml:space="preserve"> </w:t>
        </w:r>
      </w:hyperlink>
      <w:hyperlink r:id="rId7" w:history="1">
        <w:r w:rsidR="00234CD8" w:rsidRPr="00E0157D">
          <w:rPr>
            <w:rStyle w:val="Hyperlink"/>
          </w:rPr>
          <w:t>https://bwrdddiogelu.cymru/</w:t>
        </w:r>
      </w:hyperlink>
    </w:p>
    <w:p w14:paraId="5780095D" w14:textId="77777777" w:rsidR="00006F68" w:rsidRDefault="00000000">
      <w:pPr>
        <w:ind w:left="-5"/>
      </w:pPr>
      <w:r>
        <w:rPr>
          <w:lang w:val="cy-GB"/>
        </w:rPr>
        <w:t xml:space="preserve">Mae Gweithdrefnau Diogelu Cymru ar gael hefyd drwy ap y mae'n bosibl ei lawrlwytho o </w:t>
      </w:r>
      <w:r>
        <w:rPr>
          <w:color w:val="202124"/>
          <w:lang w:val="cy-GB"/>
        </w:rPr>
        <w:t xml:space="preserve">Apple App Store a Google Play Store.   </w:t>
      </w:r>
    </w:p>
    <w:p w14:paraId="65F4106C" w14:textId="387938CD" w:rsidR="00006F68" w:rsidRDefault="00000000">
      <w:pPr>
        <w:ind w:left="-5"/>
      </w:pPr>
      <w:r>
        <w:rPr>
          <w:lang w:val="cy-GB"/>
        </w:rPr>
        <w:t xml:space="preserve">Mae ychydig o e-ddysgu Ymwybyddiaeth Sylfaenol o Ddiogelu – </w:t>
      </w:r>
      <w:r w:rsidR="00234CD8">
        <w:rPr>
          <w:lang w:val="cy-GB"/>
        </w:rPr>
        <w:t xml:space="preserve"> </w:t>
      </w:r>
      <w:hyperlink r:id="rId8" w:history="1">
        <w:r w:rsidR="00234CD8">
          <w:rPr>
            <w:rStyle w:val="Hyperlink"/>
            <w:lang w:val="cy-GB"/>
          </w:rPr>
          <w:t>yma</w:t>
        </w:r>
      </w:hyperlink>
      <w:hyperlink r:id="rId9" w:history="1">
        <w:r w:rsidR="00006F68">
          <w:rPr>
            <w:color w:val="202124"/>
            <w:lang w:val="cy-GB"/>
          </w:rPr>
          <w:t xml:space="preserve"> </w:t>
        </w:r>
      </w:hyperlink>
    </w:p>
    <w:p w14:paraId="5F26DEB1" w14:textId="77777777" w:rsidR="00006F68" w:rsidRDefault="00000000">
      <w:pPr>
        <w:spacing w:after="161" w:line="259" w:lineRule="auto"/>
        <w:ind w:left="0" w:firstLine="0"/>
      </w:pPr>
      <w:r>
        <w:rPr>
          <w:color w:val="202124"/>
          <w:lang w:val="cy-GB"/>
        </w:rPr>
        <w:t xml:space="preserve"> </w:t>
      </w:r>
    </w:p>
    <w:p w14:paraId="713A15DF" w14:textId="77777777" w:rsidR="00006F68" w:rsidRDefault="00000000">
      <w:pPr>
        <w:pStyle w:val="Heading2"/>
      </w:pPr>
      <w:r>
        <w:rPr>
          <w:bCs/>
          <w:lang w:val="cy-GB"/>
        </w:rPr>
        <w:t>Aelod-Gymdeithasau CGC</w:t>
      </w:r>
      <w:r>
        <w:rPr>
          <w:b w:val="0"/>
          <w:lang w:val="cy-GB"/>
        </w:rPr>
        <w:t xml:space="preserve"> </w:t>
      </w:r>
    </w:p>
    <w:p w14:paraId="5C660997" w14:textId="77777777" w:rsidR="00006F68" w:rsidRDefault="00000000">
      <w:pPr>
        <w:ind w:left="-5"/>
      </w:pPr>
      <w:r>
        <w:rPr>
          <w:lang w:val="cy-GB"/>
        </w:rPr>
        <w:t xml:space="preserve">Mae'n ofynnol i Aelod-Gymdeithasau CGC sy'n gweithio gyda phlant ar eu pennau eu hunain a/neu gydag oedolion mewn perygl fod â Pholisi Diogelu y mae'n rhaid ei weithredu. Mae hwn yn ofyniad gorfodol i gyrff sy'n gweithio gyda phlant pan nad yw'r rhieni'n bresennol.    </w:t>
      </w:r>
    </w:p>
    <w:p w14:paraId="518AD02E" w14:textId="77777777" w:rsidR="00006F68" w:rsidRDefault="00000000">
      <w:pPr>
        <w:spacing w:after="228" w:line="258" w:lineRule="auto"/>
        <w:ind w:left="-5"/>
      </w:pPr>
      <w:r>
        <w:rPr>
          <w:color w:val="202124"/>
          <w:lang w:val="cy-GB"/>
        </w:rPr>
        <w:lastRenderedPageBreak/>
        <w:t xml:space="preserve">Mae'r Comisiwn Elusennau yn nodi disgwyliadau eglur o ran beth sydd i'w ddisgwyl gan elusennau ac mae'n bosibl gweld canllawiau cynhwysfawr yma: - </w:t>
      </w:r>
      <w:hyperlink r:id="rId10" w:history="1">
        <w:r w:rsidR="00006F68">
          <w:rPr>
            <w:color w:val="0563C1"/>
            <w:u w:val="single" w:color="0563C1"/>
            <w:lang w:val="cy-GB"/>
          </w:rPr>
          <w:t>https://www.gov.uk/guidance/safeguarding</w:t>
        </w:r>
      </w:hyperlink>
      <w:hyperlink r:id="rId11" w:history="1">
        <w:r w:rsidR="00006F68">
          <w:rPr>
            <w:color w:val="0563C1"/>
            <w:u w:val="single" w:color="0563C1"/>
            <w:lang w:val="cy-GB"/>
          </w:rPr>
          <w:t>-</w:t>
        </w:r>
      </w:hyperlink>
      <w:hyperlink r:id="rId12" w:history="1">
        <w:r w:rsidR="00006F68">
          <w:rPr>
            <w:color w:val="0563C1"/>
            <w:u w:val="single" w:color="0563C1"/>
            <w:lang w:val="cy-GB"/>
          </w:rPr>
          <w:t>duties</w:t>
        </w:r>
      </w:hyperlink>
      <w:hyperlink r:id="rId13" w:history="1">
        <w:r w:rsidR="00006F68">
          <w:rPr>
            <w:color w:val="0563C1"/>
            <w:u w:val="single" w:color="0563C1"/>
            <w:lang w:val="cy-GB"/>
          </w:rPr>
          <w:t>-</w:t>
        </w:r>
      </w:hyperlink>
      <w:hyperlink r:id="rId14" w:history="1">
        <w:r w:rsidR="00006F68">
          <w:rPr>
            <w:color w:val="0563C1"/>
            <w:u w:val="single" w:color="0563C1"/>
            <w:lang w:val="cy-GB"/>
          </w:rPr>
          <w:t>for</w:t>
        </w:r>
      </w:hyperlink>
      <w:hyperlink r:id="rId15" w:history="1">
        <w:r w:rsidR="00006F68">
          <w:rPr>
            <w:color w:val="0563C1"/>
            <w:u w:val="single" w:color="0563C1"/>
            <w:lang w:val="cy-GB"/>
          </w:rPr>
          <w:t>-</w:t>
        </w:r>
      </w:hyperlink>
      <w:hyperlink r:id="rId16" w:history="1">
        <w:r w:rsidR="00006F68">
          <w:rPr>
            <w:color w:val="0563C1"/>
            <w:u w:val="single" w:color="0563C1"/>
            <w:lang w:val="cy-GB"/>
          </w:rPr>
          <w:t>charity</w:t>
        </w:r>
      </w:hyperlink>
      <w:hyperlink r:id="rId17" w:history="1">
        <w:r w:rsidR="00006F68">
          <w:rPr>
            <w:color w:val="0563C1"/>
            <w:u w:val="single" w:color="0563C1"/>
            <w:lang w:val="cy-GB"/>
          </w:rPr>
          <w:t>-</w:t>
        </w:r>
      </w:hyperlink>
      <w:hyperlink r:id="rId18" w:history="1">
        <w:r w:rsidR="00006F68">
          <w:rPr>
            <w:color w:val="0563C1"/>
            <w:u w:val="single" w:color="0563C1"/>
            <w:lang w:val="cy-GB"/>
          </w:rPr>
          <w:t>trustees</w:t>
        </w:r>
      </w:hyperlink>
      <w:hyperlink r:id="rId19" w:history="1">
        <w:r w:rsidR="00006F68">
          <w:rPr>
            <w:color w:val="202124"/>
            <w:lang w:val="cy-GB"/>
          </w:rPr>
          <w:t xml:space="preserve"> </w:t>
        </w:r>
      </w:hyperlink>
      <w:r>
        <w:rPr>
          <w:color w:val="202124"/>
          <w:lang w:val="cy-GB"/>
        </w:rPr>
        <w:t xml:space="preserve"> Ond mae gan unrhyw gorff, boed yn elusen ai peidio, ddyletswydd gofal dros unrhyw un sy'n dod i gysylltiad ag ef a'i waith. </w:t>
      </w:r>
    </w:p>
    <w:p w14:paraId="556144E2" w14:textId="77777777" w:rsidR="00006F68" w:rsidRDefault="00000000">
      <w:pPr>
        <w:spacing w:after="157" w:line="258" w:lineRule="auto"/>
        <w:ind w:left="-5"/>
      </w:pPr>
      <w:r>
        <w:rPr>
          <w:color w:val="202124"/>
          <w:lang w:val="cy-GB"/>
        </w:rPr>
        <w:t>Dylai pob aelod-gymdeithas</w:t>
      </w:r>
      <w:r>
        <w:rPr>
          <w:lang w:val="cy-GB"/>
        </w:rPr>
        <w:t xml:space="preserve"> ystyried a oes angen iddi fod â pholisi diogelu yn ei le gan ystyried cyfarwyddyd LlC ac ati mewn perthynas â'r gweithgareddau penodol y maen nhw'n ymwneud â nhw.  </w:t>
      </w:r>
      <w:r>
        <w:rPr>
          <w:color w:val="202124"/>
          <w:lang w:val="cy-GB"/>
        </w:rPr>
        <w:t xml:space="preserve">Felly rydyn ni'n annog pawb sy'n ymwneud â threfnu/cyflwyno gweithgareddau a digwyddiadau i ddod yn gyfarwydd â'r cyfarwyddyd y cyfeiriwyd ato fel y gallan nhw sicrhau bod ganddyn nhw fesurau a pholisïau diogelu priodol yn eu lle.  </w:t>
      </w:r>
      <w:r>
        <w:rPr>
          <w:lang w:val="cy-GB"/>
        </w:rPr>
        <w:t xml:space="preserve"> </w:t>
      </w:r>
    </w:p>
    <w:p w14:paraId="0F9C7995" w14:textId="77777777" w:rsidR="00006F68" w:rsidRDefault="00000000">
      <w:pPr>
        <w:ind w:left="-5"/>
      </w:pPr>
      <w:r>
        <w:rPr>
          <w:lang w:val="cy-GB"/>
        </w:rPr>
        <w:t xml:space="preserve">Mae gan CGC ei hun bolisi sy'n berthnasol i weithgareddau a digwyddiadau y mae'n eu trefnu a'u rheoli'n uniongyrchol (LINK TO WELSH WBKA SAFEGUARDING POLICY) ac mae'n cynnwys rhai diffiniadau defnyddiol. </w:t>
      </w:r>
    </w:p>
    <w:p w14:paraId="00F0F6B1" w14:textId="77777777" w:rsidR="00006F68" w:rsidRDefault="00000000">
      <w:pPr>
        <w:spacing w:after="158" w:line="259" w:lineRule="auto"/>
        <w:ind w:left="0" w:firstLine="0"/>
      </w:pPr>
      <w:r>
        <w:rPr>
          <w:lang w:val="cy-GB"/>
        </w:rPr>
        <w:t xml:space="preserve"> </w:t>
      </w:r>
    </w:p>
    <w:p w14:paraId="37348233" w14:textId="77777777" w:rsidR="00006F68" w:rsidRDefault="00000000">
      <w:pPr>
        <w:pStyle w:val="Heading3"/>
        <w:ind w:left="-5"/>
      </w:pPr>
      <w:r>
        <w:rPr>
          <w:bCs/>
          <w:lang w:val="cy-GB"/>
        </w:rPr>
        <w:t>DBS</w:t>
      </w:r>
      <w:r>
        <w:rPr>
          <w:b w:val="0"/>
          <w:lang w:val="cy-GB"/>
        </w:rPr>
        <w:t xml:space="preserve"> </w:t>
      </w:r>
    </w:p>
    <w:p w14:paraId="7473A435" w14:textId="4319184B" w:rsidR="00006F68" w:rsidRDefault="00000000">
      <w:pPr>
        <w:spacing w:after="157" w:line="258" w:lineRule="auto"/>
        <w:ind w:left="-5"/>
      </w:pPr>
      <w:r>
        <w:rPr>
          <w:color w:val="202124"/>
          <w:lang w:val="cy-GB"/>
        </w:rPr>
        <w:t>Y DBS yw'r Gwasanaeth Datgelu a Gwahardd /(Disclosure &amp; Barring Service) a dyma'r corff sy'n gyfrifol am ddarparu gwiriadau cofnodion troseddol swyddogol i helpu cyflogwyr ac eraill i asesu pa mor addas yw unigolyn ar gyfer rôl benodol, boed yn un â thal neu'n un wirfoddol.  Mae mathau gwahanol o wiriadau</w:t>
      </w:r>
      <w:r w:rsidR="00C32EC6">
        <w:rPr>
          <w:color w:val="202124"/>
          <w:lang w:val="cy-GB"/>
        </w:rPr>
        <w:t xml:space="preserve">’r Gwasanaeth Datgelu a Gwahardd </w:t>
      </w:r>
      <w:r>
        <w:rPr>
          <w:color w:val="202124"/>
          <w:lang w:val="cy-GB"/>
        </w:rPr>
        <w:t>ac mae'r rhain wedi'u hesbonio</w:t>
      </w:r>
      <w:hyperlink r:id="rId20" w:history="1">
        <w:r w:rsidR="00006F68">
          <w:rPr>
            <w:color w:val="202124"/>
            <w:lang w:val="cy-GB"/>
          </w:rPr>
          <w:t xml:space="preserve"> </w:t>
        </w:r>
      </w:hyperlink>
      <w:hyperlink r:id="rId21" w:history="1">
        <w:r w:rsidR="00006F68">
          <w:rPr>
            <w:color w:val="0563C1"/>
            <w:u w:val="single" w:color="0563C1"/>
            <w:lang w:val="cy-GB"/>
          </w:rPr>
          <w:t>yma</w:t>
        </w:r>
      </w:hyperlink>
      <w:hyperlink r:id="rId22" w:history="1">
        <w:r w:rsidR="00C32EC6">
          <w:rPr>
            <w:color w:val="202124"/>
            <w:lang w:val="cy-GB"/>
          </w:rPr>
          <w:t>.</w:t>
        </w:r>
      </w:hyperlink>
    </w:p>
    <w:p w14:paraId="136F8E13" w14:textId="4BF4939D" w:rsidR="00006F68" w:rsidRPr="009B245A" w:rsidRDefault="00000000" w:rsidP="003F7EAA">
      <w:pPr>
        <w:ind w:left="-5"/>
        <w:rPr>
          <w:lang w:val="cy-GB"/>
        </w:rPr>
      </w:pPr>
      <w:r>
        <w:rPr>
          <w:lang w:val="cy-GB"/>
        </w:rPr>
        <w:t>Yng nghyd-destun gweithgareddau cymdeithasau gwenyna, mae gwiriadau DBS yn debygol o fod yn ofyniad yn unig lle mae gweithgaredd heb ei oruchwylio neu lle mae'r gweithgaredd penodol yn un "a reoleiddir”.  Mae'r hyn sy'n weithgaredd a reoleiddir gydag oedolyn wedi'i ddiffinio</w:t>
      </w:r>
      <w:r w:rsidR="009B245A">
        <w:rPr>
          <w:lang w:val="cy-GB"/>
        </w:rPr>
        <w:t xml:space="preserve"> </w:t>
      </w:r>
      <w:hyperlink r:id="rId23" w:history="1">
        <w:r w:rsidR="003F7EAA">
          <w:rPr>
            <w:rStyle w:val="Hyperlink"/>
            <w:lang w:val="cy-GB"/>
          </w:rPr>
          <w:t>yn y cyfarwyddyd hwn</w:t>
        </w:r>
      </w:hyperlink>
      <w:hyperlink r:id="rId24" w:history="1">
        <w:r w:rsidR="00006F68">
          <w:rPr>
            <w:lang w:val="cy-GB"/>
          </w:rPr>
          <w:t xml:space="preserve"> </w:t>
        </w:r>
      </w:hyperlink>
      <w:r>
        <w:rPr>
          <w:lang w:val="cy-GB"/>
        </w:rPr>
        <w:t xml:space="preserve">a gyda phlentyn </w:t>
      </w:r>
      <w:hyperlink r:id="rId25" w:history="1">
        <w:r w:rsidR="003F7EAA">
          <w:rPr>
            <w:rStyle w:val="Hyperlink"/>
            <w:lang w:val="cy-GB"/>
          </w:rPr>
          <w:t>yma</w:t>
        </w:r>
      </w:hyperlink>
      <w:hyperlink r:id="rId26" w:history="1">
        <w:r w:rsidR="003F7EAA">
          <w:rPr>
            <w:lang w:val="cy-GB"/>
          </w:rPr>
          <w:t>.</w:t>
        </w:r>
      </w:hyperlink>
    </w:p>
    <w:p w14:paraId="39AA3C74" w14:textId="77777777" w:rsidR="00006F68" w:rsidRDefault="00000000">
      <w:pPr>
        <w:ind w:left="-5"/>
      </w:pPr>
      <w:r>
        <w:rPr>
          <w:lang w:val="cy-GB"/>
        </w:rPr>
        <w:t xml:space="preserve">Bydd y rhan fwyaf o'r gweithgareddau y bydd unigolion yn eu gwneud o fewn Aelod-Gymdeithasau CGC naill ai wedi'u goruchwylio – e.e. rhoi sgwrs i ysgol ym mhresenoldeb staff addysgu, neu fyddan nhw ddim yn rhai a reoleiddir, ac felly fydd dim angen tystysgrif DBS.   </w:t>
      </w:r>
    </w:p>
    <w:p w14:paraId="52DE07E7" w14:textId="77777777" w:rsidR="00006F68" w:rsidRDefault="00000000">
      <w:pPr>
        <w:ind w:left="-5"/>
      </w:pPr>
      <w:r>
        <w:rPr>
          <w:lang w:val="cy-GB"/>
        </w:rPr>
        <w:t xml:space="preserve">Fodd bynnag, dim ond £18 y mae gwiriad DBS Sylfaenol yn ei gostio ac mae'n bosibl i unrhyw un dros 16 wneud cais amdano. Felly, efallai bydd </w:t>
      </w:r>
      <w:r>
        <w:rPr>
          <w:lang w:val="cy-GB"/>
        </w:rPr>
        <w:lastRenderedPageBreak/>
        <w:t xml:space="preserve">cymdeithasau'n dymuno ystyried ei gwneud hi'n ofynnol i unigolion allweddol gael gwiriad fel hyn yn rhan o'u mesurau diogelu.   </w:t>
      </w:r>
    </w:p>
    <w:p w14:paraId="2AE219FD" w14:textId="77777777" w:rsidR="00006F68" w:rsidRDefault="00000000">
      <w:pPr>
        <w:ind w:left="-5"/>
      </w:pPr>
      <w:r>
        <w:rPr>
          <w:lang w:val="cy-GB"/>
        </w:rPr>
        <w:t xml:space="preserve">Mae'n annhebygol y bydd angen gwiriadau DBS Safonol neu Fanwl ar gyfer y rhan fwyaf o'r gweithgareddau y mae cymdeithasau gwenyna'n eu gwneud, ond os oes gweithgareddau a reoleiddir neu heb eu goruchwylio'n digwydd, efallai bydd angen gwiriadau fel hyn.  Dylai aelodau gael eu harwain gan gyfarwyddyd LlC ac ati a sut bydd hyn yn berthnasol i'w gweithgaredd penodol.  </w:t>
      </w:r>
    </w:p>
    <w:p w14:paraId="3F0BB60F" w14:textId="77777777" w:rsidR="00006F68" w:rsidRDefault="00000000">
      <w:pPr>
        <w:spacing w:after="158" w:line="259" w:lineRule="auto"/>
        <w:ind w:left="0" w:firstLine="0"/>
      </w:pPr>
      <w:r>
        <w:rPr>
          <w:lang w:val="cy-GB"/>
        </w:rPr>
        <w:t xml:space="preserve"> </w:t>
      </w:r>
    </w:p>
    <w:p w14:paraId="3F542B4D" w14:textId="77777777" w:rsidR="00006F68" w:rsidRDefault="00000000">
      <w:pPr>
        <w:pStyle w:val="Heading3"/>
        <w:ind w:left="-5"/>
      </w:pPr>
      <w:r>
        <w:rPr>
          <w:bCs/>
          <w:lang w:val="cy-GB"/>
        </w:rPr>
        <w:t>Yswiriant CGC</w:t>
      </w:r>
      <w:r>
        <w:rPr>
          <w:b w:val="0"/>
          <w:lang w:val="cy-GB"/>
        </w:rPr>
        <w:t xml:space="preserve">  </w:t>
      </w:r>
    </w:p>
    <w:p w14:paraId="1B0DF840" w14:textId="77777777" w:rsidR="00006F68" w:rsidRDefault="00000000">
      <w:pPr>
        <w:spacing w:after="157" w:line="258" w:lineRule="auto"/>
        <w:ind w:left="-5"/>
      </w:pPr>
      <w:r>
        <w:rPr>
          <w:color w:val="202124"/>
          <w:lang w:val="cy-GB"/>
        </w:rPr>
        <w:t>Mae amodau ym mholisi yswiriant CGC (gall aelodau gael y manylion llawn o ofyn amdanyn nhw) ynghylch diogelu rhag cam-drin.  Felly, mae'n bwysig bod gan aelod-gymdeithasau bolisïau priodol yn eu lle sy'n rhoi sicrwydd ynghylch eu gweithgareddau penodol, ac mae’n bwysig eu bod yn cadw at y polisïau hyn.  G</w:t>
      </w:r>
      <w:r>
        <w:rPr>
          <w:lang w:val="cy-GB"/>
        </w:rPr>
        <w:t xml:space="preserve">all CGC, yn rhan o'i gweithgaredd cofrestr risg ehangach, ofyn am sicrwydd gan ei Haelod-Gymdeithasau eu bod yn cydymffurfio o ran y mater hwn er mwyn sicrhau bod amodau polisi yswiriant CGC mewn perthynas â Diogelu yn cael eu bodloni.   </w:t>
      </w:r>
    </w:p>
    <w:p w14:paraId="01F96979" w14:textId="77777777" w:rsidR="00006F68" w:rsidRDefault="00000000">
      <w:pPr>
        <w:spacing w:after="160" w:line="259" w:lineRule="auto"/>
        <w:ind w:left="0" w:firstLine="0"/>
      </w:pPr>
      <w:r>
        <w:rPr>
          <w:color w:val="202124"/>
          <w:lang w:val="cy-GB"/>
        </w:rPr>
        <w:t xml:space="preserve">   </w:t>
      </w:r>
    </w:p>
    <w:p w14:paraId="584FFF9A" w14:textId="77777777" w:rsidR="00006F68" w:rsidRDefault="00000000">
      <w:pPr>
        <w:spacing w:after="0" w:line="370" w:lineRule="auto"/>
        <w:ind w:left="0" w:right="8959" w:firstLine="0"/>
      </w:pPr>
      <w:r>
        <w:rPr>
          <w:color w:val="202124"/>
          <w:lang w:val="cy-GB"/>
        </w:rPr>
        <w:t xml:space="preserve"> </w:t>
      </w:r>
      <w:r>
        <w:rPr>
          <w:b/>
          <w:bCs/>
          <w:color w:val="202124"/>
          <w:lang w:val="cy-GB"/>
        </w:rPr>
        <w:t xml:space="preserve"> </w:t>
      </w:r>
      <w:r>
        <w:rPr>
          <w:color w:val="202124"/>
          <w:lang w:val="cy-GB"/>
        </w:rPr>
        <w:t xml:space="preserve">  </w:t>
      </w:r>
      <w:r>
        <w:rPr>
          <w:lang w:val="cy-GB"/>
        </w:rPr>
        <w:t xml:space="preserve">   </w:t>
      </w:r>
    </w:p>
    <w:sectPr w:rsidR="00006F68">
      <w:pgSz w:w="11906" w:h="16838"/>
      <w:pgMar w:top="1496" w:right="1443"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68"/>
    <w:rsid w:val="00006F68"/>
    <w:rsid w:val="0007476F"/>
    <w:rsid w:val="00100728"/>
    <w:rsid w:val="00234CD8"/>
    <w:rsid w:val="002B00D6"/>
    <w:rsid w:val="003F7EAA"/>
    <w:rsid w:val="004D1E74"/>
    <w:rsid w:val="009B245A"/>
    <w:rsid w:val="00C3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7536"/>
  <w15:docId w15:val="{5E7E26AB-201D-4A16-A3FB-08F170F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3" w:line="257" w:lineRule="auto"/>
      <w:ind w:left="1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ind w:left="91"/>
      <w:outlineLvl w:val="0"/>
    </w:pPr>
    <w:rPr>
      <w:rFonts w:ascii="Century Gothic" w:eastAsia="Century Gothic" w:hAnsi="Century Gothic" w:cs="Century Gothic"/>
      <w:b/>
      <w:color w:val="000000"/>
      <w:sz w:val="40"/>
    </w:rPr>
  </w:style>
  <w:style w:type="paragraph" w:styleId="Heading2">
    <w:name w:val="heading 2"/>
    <w:next w:val="Normal"/>
    <w:link w:val="Heading2Char"/>
    <w:uiPriority w:val="9"/>
    <w:unhideWhenUsed/>
    <w:qFormat/>
    <w:pPr>
      <w:keepNext/>
      <w:keepLines/>
      <w:outlineLvl w:val="1"/>
    </w:pPr>
    <w:rPr>
      <w:rFonts w:ascii="Calibri" w:eastAsia="Calibri" w:hAnsi="Calibri" w:cs="Calibri"/>
      <w:b/>
      <w:color w:val="202124"/>
      <w:sz w:val="28"/>
    </w:rPr>
  </w:style>
  <w:style w:type="paragraph" w:styleId="Heading3">
    <w:name w:val="heading 3"/>
    <w:next w:val="Normal"/>
    <w:link w:val="Heading3Char"/>
    <w:uiPriority w:val="9"/>
    <w:unhideWhenUsed/>
    <w:qFormat/>
    <w:pPr>
      <w:keepNext/>
      <w:keepLines/>
      <w:spacing w:after="161"/>
      <w:ind w:left="10" w:hanging="1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02124"/>
      <w:sz w:val="28"/>
    </w:rPr>
  </w:style>
  <w:style w:type="character" w:customStyle="1" w:styleId="Heading1Char">
    <w:name w:val="Heading 1 Char"/>
    <w:link w:val="Heading1"/>
    <w:rPr>
      <w:rFonts w:ascii="Century Gothic" w:eastAsia="Century Gothic" w:hAnsi="Century Gothic" w:cs="Century Gothic"/>
      <w:b/>
      <w:color w:val="000000"/>
      <w:sz w:val="40"/>
    </w:rPr>
  </w:style>
  <w:style w:type="character" w:customStyle="1" w:styleId="Heading3Char">
    <w:name w:val="Heading 3 Char"/>
    <w:link w:val="Heading3"/>
    <w:rPr>
      <w:rFonts w:ascii="Calibri" w:eastAsia="Calibri" w:hAnsi="Calibri" w:cs="Calibri"/>
      <w:b/>
      <w:color w:val="000000"/>
      <w:sz w:val="28"/>
    </w:rPr>
  </w:style>
  <w:style w:type="character" w:styleId="Hyperlink">
    <w:name w:val="Hyperlink"/>
    <w:basedOn w:val="DefaultParagraphFont"/>
    <w:uiPriority w:val="99"/>
    <w:unhideWhenUsed/>
    <w:rsid w:val="0007476F"/>
    <w:rPr>
      <w:color w:val="0563C1" w:themeColor="hyperlink"/>
      <w:u w:val="single"/>
    </w:rPr>
  </w:style>
  <w:style w:type="character" w:styleId="UnresolvedMention">
    <w:name w:val="Unresolved Mention"/>
    <w:basedOn w:val="DefaultParagraphFont"/>
    <w:uiPriority w:val="99"/>
    <w:rsid w:val="00074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ofalcymdeithasol.cymru/modiwlau-dysgu/grwp-a-diogelu" TargetMode="External"/><Relationship Id="rId13" Type="http://schemas.openxmlformats.org/officeDocument/2006/relationships/hyperlink" Target="https://www.gov.uk/guidance/safeguarding-duties-for-charity-trustees" TargetMode="External"/><Relationship Id="rId18" Type="http://schemas.openxmlformats.org/officeDocument/2006/relationships/hyperlink" Target="https://www.gov.uk/guidance/safeguarding-duties-for-charity-trustees" TargetMode="External"/><Relationship Id="rId26" Type="http://schemas.openxmlformats.org/officeDocument/2006/relationships/hyperlink" Target="https://assets.publishing.service.gov.uk/government/uploads/system/uploads/attachment_data/file/739151/Regulated_Activity_with_Children_in_Wales.pdf" TargetMode="External"/><Relationship Id="rId3" Type="http://schemas.openxmlformats.org/officeDocument/2006/relationships/webSettings" Target="webSettings.xml"/><Relationship Id="rId21" Type="http://schemas.openxmlformats.org/officeDocument/2006/relationships/hyperlink" Target="https://assets.publishing.service.gov.uk/government/uploads/system/uploads/attachment_data/file/1059974/Quick_Guide_to_DBS_Checks.pdf" TargetMode="External"/><Relationship Id="rId7" Type="http://schemas.openxmlformats.org/officeDocument/2006/relationships/hyperlink" Target="https://bwrdddiogelu.cymru/?noredirect=cy_GB" TargetMode="External"/><Relationship Id="rId12" Type="http://schemas.openxmlformats.org/officeDocument/2006/relationships/hyperlink" Target="https://www.gov.uk/guidance/safeguarding-duties-for-charity-trustees" TargetMode="External"/><Relationship Id="rId17" Type="http://schemas.openxmlformats.org/officeDocument/2006/relationships/hyperlink" Target="https://www.gov.uk/guidance/safeguarding-duties-for-charity-trustees" TargetMode="External"/><Relationship Id="rId25" Type="http://schemas.openxmlformats.org/officeDocument/2006/relationships/hyperlink" Target="https://assets.publishing.service.gov.uk/media/5d498624e5274a5402308c78/Regulated_Activity_with_Children_in_Wales_Welsh_EB_Digital_v1.0.pdf" TargetMode="External"/><Relationship Id="rId2" Type="http://schemas.openxmlformats.org/officeDocument/2006/relationships/settings" Target="settings.xml"/><Relationship Id="rId16" Type="http://schemas.openxmlformats.org/officeDocument/2006/relationships/hyperlink" Target="https://www.gov.uk/guidance/safeguarding-duties-for-charity-trustees" TargetMode="External"/><Relationship Id="rId20" Type="http://schemas.openxmlformats.org/officeDocument/2006/relationships/hyperlink" Target="https://assets.publishing.service.gov.uk/government/uploads/system/uploads/attachment_data/file/1059974/Quick_Guide_to_DBS_Checks.pdf" TargetMode="External"/><Relationship Id="rId1" Type="http://schemas.openxmlformats.org/officeDocument/2006/relationships/styles" Target="styles.xml"/><Relationship Id="rId6" Type="http://schemas.openxmlformats.org/officeDocument/2006/relationships/hyperlink" Target="https://safeguardingboard.wales/" TargetMode="External"/><Relationship Id="rId11" Type="http://schemas.openxmlformats.org/officeDocument/2006/relationships/hyperlink" Target="https://www.gov.uk/guidance/safeguarding-duties-for-charity-trustees" TargetMode="External"/><Relationship Id="rId24" Type="http://schemas.openxmlformats.org/officeDocument/2006/relationships/hyperlink" Target="https://assets.publishing.service.gov.uk/government/uploads/system/uploads/attachment_data/file/739153/Regulated_Activity_with_Adults_in_Wales.pdf" TargetMode="External"/><Relationship Id="rId5" Type="http://schemas.openxmlformats.org/officeDocument/2006/relationships/hyperlink" Target="https://www.llyw.cymru/sites/default/files/publications/2022-01/gweithio-gydan-gilydd-i-ddiogelu-pobl-cod-ymarfer-diogelu_0.pdf" TargetMode="External"/><Relationship Id="rId15" Type="http://schemas.openxmlformats.org/officeDocument/2006/relationships/hyperlink" Target="https://www.gov.uk/guidance/safeguarding-duties-for-charity-trustees" TargetMode="External"/><Relationship Id="rId23" Type="http://schemas.openxmlformats.org/officeDocument/2006/relationships/hyperlink" Target="https://assets.publishing.service.gov.uk/government/uploads/system/uploads/attachment_data/file/739153/Regulated_Activity_with_Adults_in_Wales.pdf" TargetMode="External"/><Relationship Id="rId28" Type="http://schemas.openxmlformats.org/officeDocument/2006/relationships/theme" Target="theme/theme1.xml"/><Relationship Id="rId10" Type="http://schemas.openxmlformats.org/officeDocument/2006/relationships/hyperlink" Target="https://www.gov.uk/guidance/safeguarding-duties-for-charity-trustees" TargetMode="External"/><Relationship Id="rId19" Type="http://schemas.openxmlformats.org/officeDocument/2006/relationships/hyperlink" Target="https://www.gov.uk/guidance/safeguarding-duties-for-charity-trustees" TargetMode="External"/><Relationship Id="rId4" Type="http://schemas.openxmlformats.org/officeDocument/2006/relationships/image" Target="media/image1.png"/><Relationship Id="rId9" Type="http://schemas.openxmlformats.org/officeDocument/2006/relationships/hyperlink" Target="https://socialcare.wales/learning-modules/group-a-safeguarding" TargetMode="External"/><Relationship Id="rId14" Type="http://schemas.openxmlformats.org/officeDocument/2006/relationships/hyperlink" Target="https://www.gov.uk/guidance/safeguarding-duties-for-charity-trustees" TargetMode="External"/><Relationship Id="rId22" Type="http://schemas.openxmlformats.org/officeDocument/2006/relationships/hyperlink" Target="https://assets.publishing.service.gov.uk/government/uploads/system/uploads/attachment_data/file/1059974/Quick_Guide_to_DBS_Check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Mullinex</dc:creator>
  <cp:lastModifiedBy>Karen Pratt</cp:lastModifiedBy>
  <cp:revision>2</cp:revision>
  <dcterms:created xsi:type="dcterms:W3CDTF">2024-12-13T14:07:00Z</dcterms:created>
  <dcterms:modified xsi:type="dcterms:W3CDTF">2024-12-13T14:07:00Z</dcterms:modified>
</cp:coreProperties>
</file>